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536"/>
          <w:tab w:val="right" w:pos="9072"/>
        </w:tabs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-2717799</wp:posOffset>
                </wp:positionH>
                <wp:positionV relativeFrom="paragraph">
                  <wp:posOffset>469900</wp:posOffset>
                </wp:positionV>
                <wp:extent cx="7212787" cy="28575"/>
                <wp:effectExtent b="0" l="0" r="0" t="0"/>
                <wp:wrapSquare wrapText="bothSides" distB="0" distT="0" distL="0" distR="0"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1739607" y="3780000"/>
                          <a:ext cx="7212787" cy="0"/>
                        </a:xfrm>
                        <a:prstGeom prst="straightConnector1">
                          <a:avLst/>
                        </a:prstGeom>
                        <a:noFill/>
                        <a:ln cap="flat" cmpd="sng" w="28575">
                          <a:solidFill>
                            <a:srgbClr val="7030A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-2717799</wp:posOffset>
                </wp:positionH>
                <wp:positionV relativeFrom="paragraph">
                  <wp:posOffset>469900</wp:posOffset>
                </wp:positionV>
                <wp:extent cx="7212787" cy="28575"/>
                <wp:effectExtent b="0" l="0" r="0" t="0"/>
                <wp:wrapSquare wrapText="bothSides" distB="0" distT="0" distL="0" distR="0"/>
                <wp:docPr id="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12787" cy="28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-1015999</wp:posOffset>
                </wp:positionH>
                <wp:positionV relativeFrom="paragraph">
                  <wp:posOffset>406400</wp:posOffset>
                </wp:positionV>
                <wp:extent cx="8316544" cy="28575"/>
                <wp:effectExtent b="0" l="0" r="0" t="0"/>
                <wp:wrapSquare wrapText="bothSides" distB="0" distT="0" distL="0" distR="0"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1187728" y="3780000"/>
                          <a:ext cx="8316544" cy="0"/>
                        </a:xfrm>
                        <a:prstGeom prst="straightConnector1">
                          <a:avLst/>
                        </a:prstGeom>
                        <a:noFill/>
                        <a:ln cap="flat" cmpd="sng" w="28575">
                          <a:solidFill>
                            <a:srgbClr val="10138A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-1015999</wp:posOffset>
                </wp:positionH>
                <wp:positionV relativeFrom="paragraph">
                  <wp:posOffset>406400</wp:posOffset>
                </wp:positionV>
                <wp:extent cx="8316544" cy="28575"/>
                <wp:effectExtent b="0" l="0" r="0" t="0"/>
                <wp:wrapSquare wrapText="bothSides" distB="0" distT="0" distL="0" distR="0"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16544" cy="28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-2057399</wp:posOffset>
                </wp:positionH>
                <wp:positionV relativeFrom="paragraph">
                  <wp:posOffset>533400</wp:posOffset>
                </wp:positionV>
                <wp:extent cx="4608576" cy="28575"/>
                <wp:effectExtent b="0" l="0" r="0" t="0"/>
                <wp:wrapSquare wrapText="bothSides" distB="0" distT="0" distL="0" distR="0"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041712" y="3780000"/>
                          <a:ext cx="4608576" cy="0"/>
                        </a:xfrm>
                        <a:prstGeom prst="straightConnector1">
                          <a:avLst/>
                        </a:prstGeom>
                        <a:noFill/>
                        <a:ln cap="flat" cmpd="sng" w="28575">
                          <a:solidFill>
                            <a:srgbClr val="C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-2057399</wp:posOffset>
                </wp:positionH>
                <wp:positionV relativeFrom="paragraph">
                  <wp:posOffset>533400</wp:posOffset>
                </wp:positionV>
                <wp:extent cx="4608576" cy="28575"/>
                <wp:effectExtent b="0" l="0" r="0" t="0"/>
                <wp:wrapSquare wrapText="bothSides" distB="0" distT="0" distL="0" distR="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08576" cy="28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-915669</wp:posOffset>
            </wp:positionH>
            <wp:positionV relativeFrom="paragraph">
              <wp:posOffset>-441959</wp:posOffset>
            </wp:positionV>
            <wp:extent cx="1866900" cy="1866900"/>
            <wp:effectExtent b="0" l="0" r="0" t="0"/>
            <wp:wrapNone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8669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1231900</wp:posOffset>
                </wp:positionH>
                <wp:positionV relativeFrom="paragraph">
                  <wp:posOffset>33021</wp:posOffset>
                </wp:positionV>
                <wp:extent cx="5424170" cy="407035"/>
                <wp:effectExtent b="0" l="0" r="0" t="0"/>
                <wp:wrapSquare wrapText="bothSides" distB="45720" distT="45720" distL="114300" distR="11430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638678" y="3581245"/>
                          <a:ext cx="5414645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righ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1"/>
                                <w:smallCaps w:val="0"/>
                                <w:strike w:val="0"/>
                                <w:color w:val="595959"/>
                                <w:sz w:val="44"/>
                                <w:vertAlign w:val="baseline"/>
                              </w:rPr>
                              <w:t xml:space="preserve">Subventions ANDES 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1231900</wp:posOffset>
                </wp:positionH>
                <wp:positionV relativeFrom="paragraph">
                  <wp:posOffset>33021</wp:posOffset>
                </wp:positionV>
                <wp:extent cx="5424170" cy="407035"/>
                <wp:effectExtent b="0" l="0" r="0" t="0"/>
                <wp:wrapSquare wrapText="bothSides" distB="45720" distT="45720" distL="114300" distR="114300"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24170" cy="4070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L’adhésion au réseau de l’Association Nationale du Développement des Epiceries Solidaires permet :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D’avoir des enveloppes financières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D’accéder à des formations sur l’hygiène et la sécurité alimentaire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D’avoir des propositions de partenariat ou de bons plans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D’utiliser des logiciels interactifs tels que Whaller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 participer et donner son avis lors des rencontres régionales</w:t>
      </w:r>
    </w:p>
    <w:p w:rsidR="00000000" w:rsidDel="00000000" w:rsidP="00000000" w:rsidRDefault="00000000" w:rsidRPr="00000000" w14:paraId="0000000C">
      <w:pPr>
        <w:contextualSpacing w:val="0"/>
        <w:rPr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Les subventions sont accordées en fonction de notre file active c’est-à-dire le nombre de bénéficiaires accueillis en moyenne par mois. Elles sont fixées par une convention en septembre. </w:t>
      </w:r>
    </w:p>
    <w:p w:rsidR="00000000" w:rsidDel="00000000" w:rsidP="00000000" w:rsidRDefault="00000000" w:rsidRPr="00000000" w14:paraId="0000000E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Attention</w:t>
      </w:r>
      <w:r w:rsidDel="00000000" w:rsidR="00000000" w:rsidRPr="00000000">
        <w:rPr>
          <w:sz w:val="24"/>
          <w:szCs w:val="24"/>
          <w:rtl w:val="0"/>
        </w:rPr>
        <w:t xml:space="preserve"> : lorsqu’une nouvelle épicerie sans file active arrive dans le réseau elle reçoit une enveloppe de départ fixée par l’ANDES. </w:t>
      </w:r>
    </w:p>
    <w:p w:rsidR="00000000" w:rsidDel="00000000" w:rsidP="00000000" w:rsidRDefault="00000000" w:rsidRPr="00000000" w14:paraId="0000000F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Il y a donc deux subventions chacune à utiliser sur une période donnée :</w:t>
      </w:r>
    </w:p>
    <w:p w:rsidR="00000000" w:rsidDel="00000000" w:rsidP="00000000" w:rsidRDefault="00000000" w:rsidRPr="00000000" w14:paraId="00000011">
      <w:pPr>
        <w:spacing w:after="0" w:lineRule="auto"/>
        <w:contextualSpacing w:val="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Exemple de cette année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 CNES (avant le 31 mai 2018)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Approvisionnement Ile de France (avant le 31 décembre 2017)</w:t>
      </w:r>
    </w:p>
    <w:p w:rsidR="00000000" w:rsidDel="00000000" w:rsidP="00000000" w:rsidRDefault="00000000" w:rsidRPr="00000000" w14:paraId="00000014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Il est obligatoire de justifier de l’utilisation de ces enveloppes avant une certaine date indiquée dans la convention. Pour cela :</w:t>
      </w:r>
    </w:p>
    <w:p w:rsidR="00000000" w:rsidDel="00000000" w:rsidP="00000000" w:rsidRDefault="00000000" w:rsidRPr="00000000" w14:paraId="00000016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envoyer une copie de la facture de chaque achat </w:t>
      </w:r>
    </w:p>
    <w:p w:rsidR="00000000" w:rsidDel="00000000" w:rsidP="00000000" w:rsidRDefault="00000000" w:rsidRPr="00000000" w14:paraId="00000017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joindre pour chaque ticket de caisse ou facture l’impression de la livraison rapide détaillée correspondante pour montrer que cela a été livré sur Escarcelle.</w:t>
      </w:r>
    </w:p>
    <w:p w:rsidR="00000000" w:rsidDel="00000000" w:rsidP="00000000" w:rsidRDefault="00000000" w:rsidRPr="00000000" w14:paraId="00000018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Attention </w:t>
      </w:r>
      <w:r w:rsidDel="00000000" w:rsidR="00000000" w:rsidRPr="00000000">
        <w:rPr>
          <w:sz w:val="24"/>
          <w:szCs w:val="24"/>
          <w:rtl w:val="0"/>
        </w:rPr>
        <w:t xml:space="preserve">: Seuls des produits alimentaires peuvent être achetés.</w:t>
      </w:r>
    </w:p>
    <w:p w:rsidR="00000000" w:rsidDel="00000000" w:rsidP="00000000" w:rsidRDefault="00000000" w:rsidRPr="00000000" w14:paraId="0000001B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pgSz w:h="16838" w:w="11906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contextualSpacing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r-F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4.png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image" Target="media/image3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